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FDA" w:rsidRDefault="00DA4F71" w:rsidP="00DA4F71">
      <w:pPr>
        <w:jc w:val="center"/>
      </w:pPr>
      <w:r>
        <w:rPr>
          <w:noProof/>
          <w:lang w:eastAsia="en-AU"/>
        </w:rPr>
        <w:drawing>
          <wp:inline distT="0" distB="0" distL="0" distR="0" wp14:anchorId="20103C85" wp14:editId="49439237">
            <wp:extent cx="6391910" cy="4938064"/>
            <wp:effectExtent l="0" t="0" r="8890" b="0"/>
            <wp:docPr id="1" name="Picture 1" descr="20Pack-5ml/cc Syringe with Needle, Industrial Disposable steri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Pack-5ml/cc Syringe with Needle, Industrial Disposable steril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80" t="16618" r="8265" b="17904"/>
                    <a:stretch/>
                  </pic:blipFill>
                  <pic:spPr bwMode="auto">
                    <a:xfrm>
                      <a:off x="0" y="0"/>
                      <a:ext cx="6399458" cy="494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4F71" w:rsidRDefault="00DA4F71" w:rsidP="00DA4F71">
      <w:bookmarkStart w:id="0" w:name="_GoBack"/>
    </w:p>
    <w:bookmarkEnd w:id="0"/>
    <w:p w:rsidR="00DA4F71" w:rsidRPr="00DA4F71" w:rsidRDefault="00DA4F71" w:rsidP="00DA4F71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3D89250C" wp14:editId="69977390">
            <wp:extent cx="6209254" cy="4648200"/>
            <wp:effectExtent l="0" t="0" r="1270" b="0"/>
            <wp:docPr id="3" name="Picture 3" descr="ALS Pharmacology: Intravenous Fluids &amp; Drug Calculations - pp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S Pharmacology: Intravenous Fluids &amp; Drug Calculations - ppt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3" t="2153" r="2094" b="2323"/>
                    <a:stretch/>
                  </pic:blipFill>
                  <pic:spPr bwMode="auto">
                    <a:xfrm>
                      <a:off x="0" y="0"/>
                      <a:ext cx="6220798" cy="465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A4F71" w:rsidRPr="00DA4F7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B11" w:rsidRDefault="00C06B11" w:rsidP="00F96EC4">
      <w:pPr>
        <w:spacing w:after="0" w:line="240" w:lineRule="auto"/>
      </w:pPr>
      <w:r>
        <w:separator/>
      </w:r>
    </w:p>
  </w:endnote>
  <w:endnote w:type="continuationSeparator" w:id="0">
    <w:p w:rsidR="00C06B11" w:rsidRDefault="00C06B11" w:rsidP="00F96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B11" w:rsidRDefault="00C06B11" w:rsidP="00F96EC4">
      <w:pPr>
        <w:spacing w:after="0" w:line="240" w:lineRule="auto"/>
      </w:pPr>
      <w:r>
        <w:separator/>
      </w:r>
    </w:p>
  </w:footnote>
  <w:footnote w:type="continuationSeparator" w:id="0">
    <w:p w:rsidR="00C06B11" w:rsidRDefault="00C06B11" w:rsidP="00F96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EC4" w:rsidRPr="00F96EC4" w:rsidRDefault="00F96EC4" w:rsidP="00F96EC4">
    <w:pPr>
      <w:pStyle w:val="Header"/>
      <w:jc w:val="center"/>
      <w:rPr>
        <w:b/>
        <w:sz w:val="32"/>
        <w:szCs w:val="32"/>
        <w:lang w:val="en-US"/>
      </w:rPr>
    </w:pPr>
    <w:r w:rsidRPr="00F96EC4">
      <w:rPr>
        <w:b/>
        <w:sz w:val="32"/>
        <w:szCs w:val="32"/>
        <w:lang w:val="en-US"/>
      </w:rPr>
      <w:t>PRODUCT EXPIRY DATES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71"/>
    <w:rsid w:val="000C1FDA"/>
    <w:rsid w:val="00C06B11"/>
    <w:rsid w:val="00DA4F71"/>
    <w:rsid w:val="00F9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B3024"/>
  <w15:chartTrackingRefBased/>
  <w15:docId w15:val="{FD46829F-6D3F-4751-8530-B6FDB09A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EC4"/>
  </w:style>
  <w:style w:type="paragraph" w:styleId="Footer">
    <w:name w:val="footer"/>
    <w:basedOn w:val="Normal"/>
    <w:link w:val="FooterChar"/>
    <w:uiPriority w:val="99"/>
    <w:unhideWhenUsed/>
    <w:rsid w:val="00F96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Box Hill Institute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Grounds</dc:creator>
  <cp:keywords/>
  <dc:description/>
  <cp:lastModifiedBy>Catherine Grounds</cp:lastModifiedBy>
  <cp:revision>1</cp:revision>
  <dcterms:created xsi:type="dcterms:W3CDTF">2020-04-28T09:35:00Z</dcterms:created>
  <dcterms:modified xsi:type="dcterms:W3CDTF">2020-04-28T09:47:00Z</dcterms:modified>
</cp:coreProperties>
</file>