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10" w:rsidRDefault="000E0610"/>
    <w:p w:rsidR="000E0610" w:rsidRPr="000E0610" w:rsidRDefault="000E0610">
      <w:pPr>
        <w:rPr>
          <w:b/>
          <w:sz w:val="28"/>
          <w:szCs w:val="28"/>
        </w:rPr>
      </w:pPr>
      <w:r w:rsidRPr="000E0610">
        <w:rPr>
          <w:b/>
          <w:sz w:val="28"/>
          <w:szCs w:val="28"/>
        </w:rPr>
        <w:t>Royal Children’s’ Hospital Post Exposure prophylaxis – Needle Stick Injury.</w:t>
      </w:r>
    </w:p>
    <w:p w:rsidR="000E0610" w:rsidRDefault="000E0610"/>
    <w:p w:rsidR="006E4F68" w:rsidRDefault="000E0610">
      <w:hyperlink r:id="rId4" w:history="1">
        <w:r w:rsidRPr="000E0610">
          <w:rPr>
            <w:rStyle w:val="Hyperlink"/>
          </w:rPr>
          <w:t>https://www.rch.org.au/clinicalguide/guideline_index/Needle_stick_injury/</w:t>
        </w:r>
      </w:hyperlink>
    </w:p>
    <w:p w:rsidR="000E0610" w:rsidRDefault="000E0610"/>
    <w:p w:rsidR="000E0610" w:rsidRDefault="000E0610">
      <w:bookmarkStart w:id="0" w:name="_GoBack"/>
      <w:bookmarkEnd w:id="0"/>
    </w:p>
    <w:sectPr w:rsidR="000E0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0"/>
    <w:rsid w:val="000E0610"/>
    <w:rsid w:val="006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7590"/>
  <w15:chartTrackingRefBased/>
  <w15:docId w15:val="{3C8F123E-1116-4A48-B78F-036CD6F0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ch.org.au/clinicalguide/guideline_index/Needle_stick_inju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 Hill Institute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Grounds</dc:creator>
  <cp:keywords/>
  <dc:description/>
  <cp:lastModifiedBy>Catherine Grounds</cp:lastModifiedBy>
  <cp:revision>1</cp:revision>
  <dcterms:created xsi:type="dcterms:W3CDTF">2020-04-28T09:29:00Z</dcterms:created>
  <dcterms:modified xsi:type="dcterms:W3CDTF">2020-04-28T09:32:00Z</dcterms:modified>
</cp:coreProperties>
</file>